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AA86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b/>
          <w:bCs/>
          <w:sz w:val="32"/>
          <w:szCs w:val="32"/>
        </w:rPr>
      </w:pPr>
      <w:r>
        <w:rPr>
          <w:rFonts w:eastAsia="Times New Roman" w:cs="Times New Roman"/>
          <w:noProof/>
        </w:rPr>
        <w:drawing>
          <wp:inline distT="0" distB="0" distL="0" distR="0" wp14:anchorId="0C96C5D6" wp14:editId="0F305AA4">
            <wp:extent cx="1675181" cy="1256386"/>
            <wp:effectExtent l="0" t="0" r="0" b="0"/>
            <wp:docPr id="1073741826" name="image1.jpg" descr="SAQA_Logo_color-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AQA_Logo_color-01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81" cy="125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A7E55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b/>
          <w:bCs/>
          <w:sz w:val="32"/>
          <w:szCs w:val="32"/>
        </w:rPr>
      </w:pPr>
      <w:r>
        <w:rPr>
          <w:rFonts w:eastAsia="Times New Roman" w:cs="Times New Roman"/>
          <w:b/>
          <w:bCs/>
          <w:sz w:val="32"/>
          <w:szCs w:val="32"/>
        </w:rPr>
        <w:t>Regional Exhibition Proposal Form</w:t>
      </w:r>
    </w:p>
    <w:p w14:paraId="015D6EB4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</w:p>
    <w:p w14:paraId="786CB179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</w:p>
    <w:p w14:paraId="7CE17719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FF0000"/>
        </w:rPr>
      </w:pPr>
      <w:r>
        <w:rPr>
          <w:rFonts w:eastAsia="Times New Roman" w:cs="Times New Roman"/>
          <w:color w:val="FF0000"/>
        </w:rPr>
        <w:t xml:space="preserve">To be completed and emailed at least four weeks before the call is posted on the website and /or shared with your members.  </w:t>
      </w:r>
    </w:p>
    <w:p w14:paraId="70A30778" w14:textId="77777777" w:rsidR="009C08CD" w:rsidRDefault="00000000">
      <w:pPr>
        <w:pStyle w:val="Heading1"/>
      </w:pPr>
      <w:r>
        <w:t>Regional Exhibition Coordinator</w:t>
      </w:r>
    </w:p>
    <w:p w14:paraId="39627D81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Regional Exhibition Coordinators</w:t>
      </w:r>
    </w:p>
    <w:p w14:paraId="1275A1E5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Betty Busby</w:t>
      </w:r>
    </w:p>
    <w:p w14:paraId="45D09479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hyperlink r:id="rId8">
        <w:r>
          <w:rPr>
            <w:b/>
            <w:bCs/>
            <w:color w:val="1155CC"/>
            <w:u w:val="single"/>
          </w:rPr>
          <w:t>regionalexhibit@saqa.art</w:t>
        </w:r>
      </w:hyperlink>
      <w:r>
        <w:rPr>
          <w:b/>
          <w:bCs/>
        </w:rPr>
        <w:t xml:space="preserve">   </w:t>
      </w:r>
    </w:p>
    <w:p w14:paraId="6DDCCE54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4AE46DB1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Managing curator(s) of exhibition: </w:t>
      </w:r>
    </w:p>
    <w:p w14:paraId="3850FED6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Email:</w:t>
      </w:r>
    </w:p>
    <w:p w14:paraId="164D21ED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Phone:</w:t>
      </w:r>
    </w:p>
    <w:p w14:paraId="281B2DD5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SAQA region:</w:t>
      </w:r>
    </w:p>
    <w:p w14:paraId="35BA08B7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3CED212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Juror (Optional):</w:t>
      </w:r>
    </w:p>
    <w:p w14:paraId="701CE838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OR</w:t>
      </w:r>
    </w:p>
    <w:p w14:paraId="2005A881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b/>
          <w:bCs/>
        </w:rPr>
        <w:t>Non-juried</w:t>
      </w:r>
      <w:r>
        <w:rPr>
          <w:rFonts w:eastAsia="Times New Roman" w:cs="Times New Roman"/>
          <w:b/>
          <w:bCs/>
        </w:rPr>
        <w:t xml:space="preserve"> SAQA Showcase </w:t>
      </w:r>
    </w:p>
    <w:p w14:paraId="141E0F98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</w:p>
    <w:p w14:paraId="6048EC9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Title of exhibition:  </w:t>
      </w:r>
    </w:p>
    <w:p w14:paraId="68A87946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22416346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Theme:</w:t>
      </w:r>
    </w:p>
    <w:p w14:paraId="418A3D09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6F545C7B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Exhibition run dates: </w:t>
      </w:r>
    </w:p>
    <w:p w14:paraId="126CCF33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73559C6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SAQA regions eligible to enter: </w:t>
      </w:r>
    </w:p>
    <w:p w14:paraId="365D5908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362D647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Size requirements or </w:t>
      </w:r>
      <w:r>
        <w:rPr>
          <w:rFonts w:eastAsia="Times New Roman" w:cs="Times New Roman"/>
          <w:b/>
          <w:bCs/>
        </w:rPr>
        <w:br/>
        <w:t xml:space="preserve">Restrictions for artwork: </w:t>
      </w:r>
    </w:p>
    <w:p w14:paraId="06732968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0B0832E8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Projected number of pieces: </w:t>
      </w:r>
    </w:p>
    <w:p w14:paraId="5495A3A1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0BB33DEB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Name(s) of venue:</w:t>
      </w:r>
      <w:r>
        <w:rPr>
          <w:rFonts w:eastAsia="Times New Roman" w:cs="Times New Roman"/>
          <w:b/>
          <w:bCs/>
        </w:rPr>
        <w:br/>
      </w:r>
      <w:r>
        <w:rPr>
          <w:rFonts w:eastAsia="Times New Roman" w:cs="Times New Roman"/>
        </w:rPr>
        <w:t xml:space="preserve">If a venue is not yet contracted, put TBD and notify the </w:t>
      </w:r>
      <w:r>
        <w:t xml:space="preserve">Rep Coordinator at </w:t>
      </w:r>
      <w:hyperlink r:id="rId9">
        <w:r>
          <w:rPr>
            <w:color w:val="1155CC"/>
            <w:u w:val="single"/>
          </w:rPr>
          <w:t>regions@saqa.art</w:t>
        </w:r>
      </w:hyperlink>
      <w:r>
        <w:rPr>
          <w:rFonts w:eastAsia="Times New Roman" w:cs="Times New Roman"/>
        </w:rPr>
        <w:t xml:space="preserve"> when</w:t>
      </w:r>
      <w:r>
        <w:t xml:space="preserve"> </w:t>
      </w:r>
      <w:r>
        <w:rPr>
          <w:rFonts w:eastAsia="Times New Roman" w:cs="Times New Roman"/>
        </w:rPr>
        <w:t>it is confirmed. Additional venues may be added during the tour of the show, again notify us when scheduled.</w:t>
      </w:r>
    </w:p>
    <w:p w14:paraId="765B1F75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20D2C976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lastRenderedPageBreak/>
        <w:t>Exhibit insurance guidelines:</w:t>
      </w:r>
    </w:p>
    <w:p w14:paraId="51877461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  <w:r>
        <w:rPr>
          <w:rFonts w:eastAsia="Times New Roman" w:cs="Times New Roman"/>
        </w:rPr>
        <w:t>Artists are responsible for shipping insurance to the venue</w:t>
      </w:r>
      <w:r>
        <w:t>. Please</w:t>
      </w:r>
      <w:r>
        <w:rPr>
          <w:rFonts w:eastAsia="Times New Roman" w:cs="Times New Roman"/>
        </w:rPr>
        <w:t xml:space="preserve"> </w:t>
      </w:r>
      <w:proofErr w:type="gramStart"/>
      <w:r>
        <w:rPr>
          <w:rFonts w:eastAsia="Times New Roman" w:cs="Times New Roman"/>
        </w:rPr>
        <w:t>initial_____</w:t>
      </w:r>
      <w:proofErr w:type="gramEnd"/>
      <w:r>
        <w:rPr>
          <w:rFonts w:eastAsia="Times New Roman" w:cs="Times New Roman"/>
        </w:rPr>
        <w:t xml:space="preserve"> to acknowledge you understand. </w:t>
      </w:r>
    </w:p>
    <w:p w14:paraId="54889623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</w:p>
    <w:p w14:paraId="16F4A1F2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41F5839A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b/>
          <w:bCs/>
          <w:color w:val="333333"/>
        </w:rPr>
        <w:t>Budget Estimate:</w:t>
      </w:r>
      <w:r>
        <w:rPr>
          <w:rFonts w:eastAsia="Times New Roman" w:cs="Times New Roman"/>
          <w:color w:val="333333"/>
        </w:rPr>
        <w:t xml:space="preserve"> </w:t>
      </w:r>
    </w:p>
    <w:p w14:paraId="02C677C0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</w:p>
    <w:p w14:paraId="12ECBB3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b/>
          <w:bCs/>
          <w:color w:val="333333"/>
        </w:rPr>
        <w:t>Income:</w:t>
      </w:r>
      <w:r>
        <w:rPr>
          <w:rFonts w:eastAsia="Times New Roman" w:cs="Times New Roman"/>
          <w:color w:val="333333"/>
        </w:rPr>
        <w:t xml:space="preserve"> $____entry fee x projected number of entries </w:t>
      </w:r>
    </w:p>
    <w:p w14:paraId="1ED63AB8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</w:p>
    <w:p w14:paraId="1B976F40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b/>
          <w:bCs/>
          <w:color w:val="333333"/>
        </w:rPr>
        <w:t>Expenses:</w:t>
      </w:r>
      <w:r>
        <w:rPr>
          <w:rFonts w:eastAsia="Times New Roman" w:cs="Times New Roman"/>
          <w:color w:val="333333"/>
        </w:rPr>
        <w:t xml:space="preserve"> </w:t>
      </w:r>
    </w:p>
    <w:p w14:paraId="1B93ABE4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b/>
          <w:bCs/>
          <w:color w:val="333333"/>
        </w:rPr>
        <w:t>Note: this is a list of possible expenses</w:t>
      </w:r>
      <w:r>
        <w:rPr>
          <w:b/>
          <w:bCs/>
          <w:color w:val="333333"/>
        </w:rPr>
        <w:t>; yours</w:t>
      </w:r>
      <w:r>
        <w:rPr>
          <w:rFonts w:eastAsia="Times New Roman" w:cs="Times New Roman"/>
          <w:b/>
          <w:bCs/>
          <w:color w:val="333333"/>
        </w:rPr>
        <w:t xml:space="preserve"> may differ.</w:t>
      </w:r>
      <w:r>
        <w:rPr>
          <w:rFonts w:eastAsia="Times New Roman" w:cs="Times New Roman"/>
          <w:color w:val="333333"/>
        </w:rPr>
        <w:t xml:space="preserve"> </w:t>
      </w:r>
    </w:p>
    <w:p w14:paraId="0B3601CE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</w:p>
    <w:p w14:paraId="31EFE340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b/>
          <w:bCs/>
          <w:color w:val="333333"/>
        </w:rPr>
        <w:t>Entry System</w:t>
      </w:r>
      <w:r>
        <w:rPr>
          <w:rFonts w:eastAsia="Times New Roman" w:cs="Times New Roman"/>
          <w:color w:val="333333"/>
        </w:rPr>
        <w:t xml:space="preserve"> (choose one) </w:t>
      </w:r>
    </w:p>
    <w:p w14:paraId="5AEDD68E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 xml:space="preserve">SAQA offers two types of online </w:t>
      </w:r>
      <w:r>
        <w:rPr>
          <w:color w:val="333333"/>
        </w:rPr>
        <w:t>call-for-entry</w:t>
      </w:r>
      <w:r>
        <w:rPr>
          <w:rFonts w:eastAsia="Times New Roman" w:cs="Times New Roman"/>
          <w:color w:val="333333"/>
        </w:rPr>
        <w:t xml:space="preserve"> systems </w:t>
      </w:r>
    </w:p>
    <w:p w14:paraId="714CEA49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proofErr w:type="gramStart"/>
      <w:r>
        <w:rPr>
          <w:rFonts w:eastAsia="Times New Roman" w:cs="Times New Roman"/>
          <w:color w:val="333333"/>
        </w:rPr>
        <w:t>Formstack  _</w:t>
      </w:r>
      <w:proofErr w:type="gramEnd"/>
      <w:r>
        <w:rPr>
          <w:rFonts w:eastAsia="Times New Roman" w:cs="Times New Roman"/>
          <w:color w:val="333333"/>
        </w:rPr>
        <w:t>___</w:t>
      </w:r>
    </w:p>
    <w:p w14:paraId="2EC4F785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 xml:space="preserve">Airtable </w:t>
      </w:r>
      <w:r>
        <w:rPr>
          <w:color w:val="333333"/>
        </w:rPr>
        <w:t xml:space="preserve">     </w:t>
      </w:r>
      <w:r>
        <w:rPr>
          <w:rFonts w:eastAsia="Times New Roman" w:cs="Times New Roman"/>
          <w:color w:val="333333"/>
        </w:rPr>
        <w:t>____</w:t>
      </w:r>
    </w:p>
    <w:p w14:paraId="55586CAD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FF2600"/>
        </w:rPr>
        <w:t xml:space="preserve">**allow </w:t>
      </w:r>
      <w:r>
        <w:rPr>
          <w:color w:val="FF2600"/>
        </w:rPr>
        <w:t xml:space="preserve">a </w:t>
      </w:r>
      <w:r>
        <w:rPr>
          <w:rFonts w:eastAsia="Times New Roman" w:cs="Times New Roman"/>
          <w:color w:val="FF2600"/>
        </w:rPr>
        <w:t>minimum of 2 weeks between entry closing and presenting of images to juror for staff to prepare your entries</w:t>
      </w:r>
    </w:p>
    <w:p w14:paraId="3C4E0E00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 xml:space="preserve">See the </w:t>
      </w:r>
      <w:hyperlink r:id="rId10">
        <w:r>
          <w:rPr>
            <w:rFonts w:eastAsia="Times New Roman" w:cs="Times New Roman"/>
            <w:color w:val="0000FF"/>
            <w:u w:val="single"/>
          </w:rPr>
          <w:t>SAQA Call for Entry System</w:t>
        </w:r>
      </w:hyperlink>
      <w:r>
        <w:rPr>
          <w:rFonts w:eastAsia="Times New Roman" w:cs="Times New Roman"/>
          <w:color w:val="333333"/>
        </w:rPr>
        <w:t xml:space="preserve"> for more information. </w:t>
      </w:r>
    </w:p>
    <w:p w14:paraId="197BF815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</w:p>
    <w:p w14:paraId="43E90E8D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333333"/>
        </w:rPr>
      </w:pPr>
      <w:r>
        <w:rPr>
          <w:rFonts w:eastAsia="Times New Roman" w:cs="Times New Roman"/>
          <w:b/>
          <w:bCs/>
          <w:color w:val="333333"/>
        </w:rPr>
        <w:t xml:space="preserve">OR </w:t>
      </w:r>
    </w:p>
    <w:p w14:paraId="5EE017A7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>Other: ____________</w:t>
      </w:r>
    </w:p>
    <w:p w14:paraId="55F8591A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</w:p>
    <w:p w14:paraId="337F28D1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color w:val="FF2600"/>
        </w:rPr>
        <w:t>Possible</w:t>
      </w:r>
      <w:r>
        <w:rPr>
          <w:rFonts w:eastAsia="Times New Roman" w:cs="Times New Roman"/>
          <w:color w:val="FF2600"/>
        </w:rPr>
        <w:t xml:space="preserve"> additional expenses may include:</w:t>
      </w:r>
    </w:p>
    <w:p w14:paraId="304DA2C2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</w:p>
    <w:p w14:paraId="2D69B53C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>Media materials: Postcards, posters, advertising, brochures</w:t>
      </w:r>
      <w:r>
        <w:rPr>
          <w:color w:val="333333"/>
        </w:rPr>
        <w:t>,</w:t>
      </w:r>
      <w:r>
        <w:rPr>
          <w:rFonts w:eastAsia="Times New Roman" w:cs="Times New Roman"/>
          <w:color w:val="333333"/>
        </w:rPr>
        <w:t xml:space="preserve"> etc.  </w:t>
      </w:r>
      <w:r>
        <w:rPr>
          <w:rFonts w:eastAsia="Times New Roman" w:cs="Times New Roman"/>
          <w:color w:val="333333"/>
        </w:rPr>
        <w:br/>
        <w:t xml:space="preserve">Catalog - See </w:t>
      </w:r>
      <w:hyperlink r:id="rId11">
        <w:r>
          <w:rPr>
            <w:rFonts w:eastAsia="Times New Roman" w:cs="Times New Roman"/>
            <w:color w:val="0000FF"/>
            <w:u w:val="single"/>
          </w:rPr>
          <w:t>Regional Exhibition Guidelines &amp; Resources</w:t>
        </w:r>
      </w:hyperlink>
      <w:r>
        <w:rPr>
          <w:color w:val="333333"/>
        </w:rPr>
        <w:t>,</w:t>
      </w:r>
      <w:r>
        <w:rPr>
          <w:rFonts w:eastAsia="Times New Roman" w:cs="Times New Roman"/>
          <w:color w:val="333333"/>
        </w:rPr>
        <w:t xml:space="preserve"> scroll to the Regional Catalog section</w:t>
      </w:r>
    </w:p>
    <w:p w14:paraId="4B5A8095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 xml:space="preserve">Juror fee </w:t>
      </w:r>
    </w:p>
    <w:p w14:paraId="6A03C066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 xml:space="preserve">Shipping </w:t>
      </w:r>
    </w:p>
    <w:p w14:paraId="2CF8F4F4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 xml:space="preserve">Gallery fee </w:t>
      </w:r>
    </w:p>
    <w:p w14:paraId="65D9FDB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</w:t>
      </w:r>
    </w:p>
    <w:p w14:paraId="76E6735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  <w:r>
        <w:rPr>
          <w:rFonts w:eastAsia="Times New Roman" w:cs="Times New Roman"/>
        </w:rPr>
        <w:t xml:space="preserve">Related activities like lectures and workshops </w:t>
      </w:r>
    </w:p>
    <w:p w14:paraId="01E312F2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</w:p>
    <w:p w14:paraId="7F5A6EA7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  <w:r>
        <w:rPr>
          <w:rFonts w:eastAsia="Times New Roman" w:cs="Times New Roman"/>
        </w:rPr>
        <w:t>Total proposed expenditures:</w:t>
      </w:r>
    </w:p>
    <w:p w14:paraId="4B540B55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7243A6CD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i/>
          <w:iCs/>
        </w:rPr>
      </w:pPr>
      <w:r>
        <w:rPr>
          <w:rFonts w:eastAsia="Times New Roman" w:cs="Times New Roman"/>
          <w:b/>
          <w:bCs/>
          <w:i/>
          <w:iCs/>
        </w:rPr>
        <w:t xml:space="preserve"> CALENDAR (please fill out a date for each)</w:t>
      </w:r>
    </w:p>
    <w:p w14:paraId="2862E808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756C4190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Call for entry issued</w:t>
      </w:r>
    </w:p>
    <w:p w14:paraId="551C162A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Entry opens</w:t>
      </w:r>
    </w:p>
    <w:p w14:paraId="318B35FB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Deadline for receipt of entries</w:t>
      </w:r>
    </w:p>
    <w:p w14:paraId="44A2A72A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FF2600"/>
        </w:rPr>
      </w:pPr>
      <w:r>
        <w:rPr>
          <w:rFonts w:eastAsia="Times New Roman" w:cs="Times New Roman"/>
          <w:color w:val="FF2600"/>
        </w:rPr>
        <w:t xml:space="preserve">**allow </w:t>
      </w:r>
      <w:r>
        <w:rPr>
          <w:color w:val="FF2600"/>
        </w:rPr>
        <w:t xml:space="preserve">a </w:t>
      </w:r>
      <w:r>
        <w:rPr>
          <w:rFonts w:eastAsia="Times New Roman" w:cs="Times New Roman"/>
          <w:color w:val="FF2600"/>
        </w:rPr>
        <w:t xml:space="preserve">minimum of 2 weeks between entry closing and presenting of images to </w:t>
      </w:r>
      <w:proofErr w:type="gramStart"/>
      <w:r>
        <w:rPr>
          <w:rFonts w:eastAsia="Times New Roman" w:cs="Times New Roman"/>
          <w:color w:val="FF2600"/>
        </w:rPr>
        <w:t>juror</w:t>
      </w:r>
      <w:proofErr w:type="gramEnd"/>
      <w:r>
        <w:rPr>
          <w:rFonts w:eastAsia="Times New Roman" w:cs="Times New Roman"/>
          <w:color w:val="FF2600"/>
        </w:rPr>
        <w:t xml:space="preserve"> for staff to prepare your entries if using Formstack or Airtable through SAQA</w:t>
      </w:r>
    </w:p>
    <w:p w14:paraId="2EF3CCF4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5A0A662F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Jury from_ to _</w:t>
      </w:r>
    </w:p>
    <w:p w14:paraId="5BFF0618" w14:textId="77777777" w:rsidR="009C08CD" w:rsidRDefault="009C08CD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</w:p>
    <w:p w14:paraId="6199AB92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lastRenderedPageBreak/>
        <w:t xml:space="preserve">Notification of acceptance </w:t>
      </w:r>
    </w:p>
    <w:p w14:paraId="5F57EC9C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Accepted artwork delivery date</w:t>
      </w:r>
    </w:p>
    <w:p w14:paraId="4B1CFE14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Artist reception (optional)</w:t>
      </w:r>
    </w:p>
    <w:p w14:paraId="324C2433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Exhibition opens</w:t>
      </w:r>
    </w:p>
    <w:p w14:paraId="2E1597B0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Exhibition closes</w:t>
      </w:r>
      <w:r>
        <w:rPr>
          <w:rFonts w:eastAsia="Times New Roman" w:cs="Times New Roman"/>
          <w:b/>
          <w:bCs/>
        </w:rPr>
        <w:br/>
      </w:r>
    </w:p>
    <w:p w14:paraId="0D6908A4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  <w:r>
        <w:rPr>
          <w:rFonts w:eastAsia="Times New Roman" w:cs="Times New Roman"/>
          <w:b/>
          <w:bCs/>
          <w:color w:val="FF0000"/>
          <w:sz w:val="32"/>
          <w:szCs w:val="32"/>
        </w:rPr>
        <w:t>Note:</w:t>
      </w:r>
      <w:r>
        <w:rPr>
          <w:rFonts w:eastAsia="Times New Roman" w:cs="Times New Roman"/>
          <w:b/>
          <w:bCs/>
          <w:sz w:val="32"/>
          <w:szCs w:val="32"/>
        </w:rPr>
        <w:t xml:space="preserve"> </w:t>
      </w:r>
      <w:r>
        <w:rPr>
          <w:rFonts w:eastAsia="Times New Roman" w:cs="Times New Roman"/>
          <w:b/>
          <w:bCs/>
        </w:rPr>
        <w:t xml:space="preserve">To be eligible for </w:t>
      </w:r>
      <w:hyperlink r:id="rId12">
        <w:r>
          <w:rPr>
            <w:rFonts w:eastAsia="Times New Roman" w:cs="Times New Roman"/>
            <w:b/>
            <w:bCs/>
            <w:color w:val="0000FF"/>
            <w:u w:val="single"/>
          </w:rPr>
          <w:t>SAQA Insurance</w:t>
        </w:r>
      </w:hyperlink>
      <w:r>
        <w:t>,</w:t>
      </w:r>
      <w:r>
        <w:rPr>
          <w:rFonts w:eastAsia="Times New Roman" w:cs="Times New Roman"/>
        </w:rPr>
        <w:t xml:space="preserve"> a spreadsheet with the artworks and values (if a piece is NFS, it still needs an assigned value for insurance purposes) must be sent to the </w:t>
      </w:r>
      <w:hyperlink r:id="rId13">
        <w:r>
          <w:rPr>
            <w:rFonts w:eastAsia="Times New Roman" w:cs="Times New Roman"/>
            <w:color w:val="1155CC"/>
            <w:u w:val="single"/>
          </w:rPr>
          <w:t>Regional Rep Coordinator</w:t>
        </w:r>
      </w:hyperlink>
      <w:r>
        <w:rPr>
          <w:rFonts w:eastAsia="Times New Roman" w:cs="Times New Roman"/>
        </w:rPr>
        <w:t xml:space="preserve"> after the works in the show have been selected. </w:t>
      </w:r>
      <w:r>
        <w:rPr>
          <w:rFonts w:eastAsia="Times New Roman" w:cs="Times New Roman"/>
          <w:b/>
          <w:bCs/>
          <w:color w:val="FF0000"/>
        </w:rPr>
        <w:t>DO NOT FORGET THIS STEP</w:t>
      </w:r>
    </w:p>
    <w:p w14:paraId="117D3CEB" w14:textId="77777777" w:rsidR="009C08C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libri" w:eastAsia="Calibri" w:hAnsi="Calibri" w:cs="Calibri"/>
          <w:sz w:val="22"/>
          <w:szCs w:val="22"/>
        </w:rPr>
      </w:pPr>
      <w:r>
        <w:rPr>
          <w:rFonts w:eastAsia="Times New Roman" w:cs="Times New Roman"/>
        </w:rPr>
        <w:t>Once your proposal has been approved</w:t>
      </w:r>
      <w:r>
        <w:t>,</w:t>
      </w:r>
      <w:r>
        <w:rPr>
          <w:rFonts w:eastAsia="Times New Roman" w:cs="Times New Roman"/>
        </w:rPr>
        <w:t xml:space="preserve"> the</w:t>
      </w:r>
      <w:r>
        <w:rPr>
          <w:rFonts w:eastAsia="Times New Roman" w:cs="Times New Roman"/>
          <w:b/>
          <w:bCs/>
        </w:rPr>
        <w:t xml:space="preserve"> next step </w:t>
      </w:r>
      <w:r>
        <w:rPr>
          <w:rFonts w:eastAsia="Times New Roman" w:cs="Times New Roman"/>
        </w:rPr>
        <w:t xml:space="preserve">is to complete the Prospectus. Please refer to the </w:t>
      </w:r>
      <w:hyperlink r:id="rId14">
        <w:r>
          <w:rPr>
            <w:rFonts w:eastAsia="Times New Roman" w:cs="Times New Roman"/>
            <w:color w:val="0000FF"/>
            <w:u w:val="single"/>
          </w:rPr>
          <w:t>Regional Exhibition Guidelines</w:t>
        </w:r>
      </w:hyperlink>
      <w:r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  <w:b/>
          <w:bCs/>
        </w:rPr>
        <w:br/>
      </w:r>
      <w:r>
        <w:rPr>
          <w:rFonts w:ascii="Calibri" w:eastAsia="Calibri" w:hAnsi="Calibri" w:cs="Calibri"/>
          <w:sz w:val="22"/>
          <w:szCs w:val="22"/>
        </w:rPr>
        <w:t>Updated 12/09/2024</w:t>
      </w:r>
    </w:p>
    <w:sectPr w:rsidR="009C08CD">
      <w:headerReference w:type="default" r:id="rId15"/>
      <w:footerReference w:type="default" r:id="rId16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4DA5C" w14:textId="77777777" w:rsidR="00D735A4" w:rsidRDefault="00D735A4">
      <w:r>
        <w:separator/>
      </w:r>
    </w:p>
  </w:endnote>
  <w:endnote w:type="continuationSeparator" w:id="0">
    <w:p w14:paraId="56848466" w14:textId="77777777" w:rsidR="00D735A4" w:rsidRDefault="00D7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23C45F-98BF-4EC8-AD2C-A24DC87EC638}"/>
    <w:embedBold r:id="rId2" w:fontKey="{36D0B833-9EA2-4FFA-B77C-5C1DA292A517}"/>
  </w:font>
  <w:font w:name="Helvetica Neue">
    <w:charset w:val="00"/>
    <w:family w:val="auto"/>
    <w:pitch w:val="default"/>
    <w:embedRegular r:id="rId3" w:fontKey="{FB2B9A9A-A45C-43D4-8BCD-5C7359930103}"/>
  </w:font>
  <w:font w:name="Georgia">
    <w:panose1 w:val="02040502050405020303"/>
    <w:charset w:val="00"/>
    <w:family w:val="auto"/>
    <w:pitch w:val="default"/>
    <w:embedItalic r:id="rId4" w:fontKey="{5E9F0012-2133-4713-ABC4-BB55C139DE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7703B" w14:textId="77777777" w:rsidR="009C08CD" w:rsidRDefault="009C08C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C53A7" w14:textId="77777777" w:rsidR="00D735A4" w:rsidRDefault="00D735A4">
      <w:r>
        <w:separator/>
      </w:r>
    </w:p>
  </w:footnote>
  <w:footnote w:type="continuationSeparator" w:id="0">
    <w:p w14:paraId="3E788F40" w14:textId="77777777" w:rsidR="00D735A4" w:rsidRDefault="00D73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3532B" w14:textId="77777777" w:rsidR="009C08CD" w:rsidRDefault="009C08C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8CD"/>
    <w:rsid w:val="003F5AFE"/>
    <w:rsid w:val="009C08CD"/>
    <w:rsid w:val="00B96FFD"/>
    <w:rsid w:val="00D7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FB4D9"/>
  <w15:docId w15:val="{C3AC620D-66CC-4E32-B602-EA912704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rPr>
      <w:rFonts w:ascii="Times New Roman" w:hAnsi="Times New Roman"/>
      <w:b/>
      <w:bCs/>
      <w:lang w:val="en-US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b/>
      <w:bCs/>
      <w:outline w:val="0"/>
      <w:color w:val="0000FF"/>
      <w:u w:val="single" w:color="0000FF"/>
    </w:rPr>
  </w:style>
  <w:style w:type="paragraph" w:customStyle="1" w:styleId="default-style">
    <w:name w:val="default-style"/>
    <w:pPr>
      <w:spacing w:before="100" w:after="10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Link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onalexhibit@saqa.com" TargetMode="External"/><Relationship Id="rId13" Type="http://schemas.openxmlformats.org/officeDocument/2006/relationships/hyperlink" Target="mailto:regions@saqa.ar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saqa.com/members/inside-saqa/regional-resources/regional-exhibition-resourc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aqa.com/members/inside-saqa/regional-resources/regional-exhibition-resourc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saqa.com/members/inside-saqa/regional-resources/saqa-call-entry-info-reg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gions@saqa.art" TargetMode="External"/><Relationship Id="rId14" Type="http://schemas.openxmlformats.org/officeDocument/2006/relationships/hyperlink" Target="https://www.saqa.com/members/inside-saqa/regional-resources/regional-exhibition-resourc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HBuyhkk06juTY0XgHOJdJN8+Yg==">CgMxLjA4AHIhMUJJTk9kUTJOV3pET3FBSmgzSDU5dXdkRUJtc0hPb2R3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 Solon</cp:lastModifiedBy>
  <cp:revision>2</cp:revision>
  <dcterms:created xsi:type="dcterms:W3CDTF">2026-02-25T21:29:00Z</dcterms:created>
  <dcterms:modified xsi:type="dcterms:W3CDTF">2026-02-25T21:29:00Z</dcterms:modified>
</cp:coreProperties>
</file>